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FA" w:rsidRDefault="006901FA" w:rsidP="006901FA">
      <w:pPr>
        <w:spacing w:after="0"/>
        <w:rPr>
          <w:rFonts w:ascii="Times New Roman" w:hAnsi="Times New Roman"/>
          <w:b/>
          <w:sz w:val="28"/>
          <w:szCs w:val="28"/>
        </w:rPr>
      </w:pPr>
      <w:r>
        <w:rPr>
          <w:rFonts w:ascii="Times New Roman" w:hAnsi="Times New Roman"/>
          <w:b/>
          <w:sz w:val="28"/>
          <w:szCs w:val="28"/>
        </w:rPr>
        <w:t>Institutional Distinctiveness</w:t>
      </w:r>
    </w:p>
    <w:p w:rsidR="006901FA" w:rsidRDefault="006901FA" w:rsidP="006901FA">
      <w:pPr>
        <w:spacing w:after="0"/>
        <w:jc w:val="both"/>
        <w:rPr>
          <w:rFonts w:ascii="Times New Roman" w:hAnsi="Times New Roman"/>
          <w:sz w:val="28"/>
          <w:szCs w:val="28"/>
        </w:rPr>
      </w:pPr>
      <w:r>
        <w:rPr>
          <w:rFonts w:ascii="Times New Roman" w:hAnsi="Times New Roman"/>
          <w:sz w:val="28"/>
          <w:szCs w:val="28"/>
        </w:rPr>
        <w:t xml:space="preserve"> The Institutional distinctiveness transpires directly from the vision constitutionalized by the college which takes into account various parameters for the overall excellence in each and every sphere of the college administration as well as in academics. Evolvement of the institute as the centre for capacity building for the successful management of the overall affairs requires nurturing and training the human resource of the institute with advance skill sets. As such the institute organizes programmes in the form of trainings, seminars, webinars, workshops, extension activities, quizzes, essay writings, painting competition, sports activities etc. for different stakeholders associated.</w:t>
      </w:r>
    </w:p>
    <w:p w:rsidR="006901FA" w:rsidRDefault="006901FA" w:rsidP="006901FA">
      <w:pPr>
        <w:spacing w:after="0"/>
        <w:jc w:val="both"/>
        <w:rPr>
          <w:rFonts w:ascii="Times New Roman" w:hAnsi="Times New Roman"/>
          <w:b/>
          <w:sz w:val="28"/>
          <w:szCs w:val="28"/>
        </w:rPr>
      </w:pPr>
      <w:r>
        <w:rPr>
          <w:rFonts w:ascii="Times New Roman" w:hAnsi="Times New Roman"/>
          <w:b/>
          <w:sz w:val="28"/>
          <w:szCs w:val="28"/>
        </w:rPr>
        <w:t>Programmes undertaken for the teaching faculty:</w:t>
      </w:r>
    </w:p>
    <w:tbl>
      <w:tblPr>
        <w:tblStyle w:val="TableGrid"/>
        <w:tblW w:w="0" w:type="auto"/>
        <w:tblLook w:val="04A0"/>
      </w:tblPr>
      <w:tblGrid>
        <w:gridCol w:w="1548"/>
        <w:gridCol w:w="3960"/>
        <w:gridCol w:w="4068"/>
      </w:tblGrid>
      <w:tr w:rsidR="006901FA" w:rsidTr="006901FA">
        <w:tc>
          <w:tcPr>
            <w:tcW w:w="154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center"/>
              <w:rPr>
                <w:rFonts w:ascii="Times New Roman" w:hAnsi="Times New Roman"/>
                <w:sz w:val="28"/>
                <w:szCs w:val="28"/>
              </w:rPr>
            </w:pPr>
            <w:r>
              <w:rPr>
                <w:rFonts w:ascii="Times New Roman" w:hAnsi="Times New Roman"/>
                <w:sz w:val="28"/>
                <w:szCs w:val="28"/>
              </w:rPr>
              <w:t>S.No</w:t>
            </w:r>
          </w:p>
        </w:tc>
        <w:tc>
          <w:tcPr>
            <w:tcW w:w="3960"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center"/>
              <w:rPr>
                <w:rFonts w:ascii="Times New Roman" w:hAnsi="Times New Roman"/>
                <w:sz w:val="28"/>
                <w:szCs w:val="28"/>
              </w:rPr>
            </w:pPr>
            <w:r>
              <w:rPr>
                <w:rFonts w:ascii="Times New Roman" w:hAnsi="Times New Roman"/>
                <w:sz w:val="28"/>
                <w:szCs w:val="28"/>
              </w:rPr>
              <w:t>Activity type</w:t>
            </w:r>
          </w:p>
        </w:tc>
        <w:tc>
          <w:tcPr>
            <w:tcW w:w="406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center"/>
              <w:rPr>
                <w:rFonts w:ascii="Times New Roman" w:hAnsi="Times New Roman"/>
                <w:sz w:val="28"/>
                <w:szCs w:val="28"/>
              </w:rPr>
            </w:pPr>
            <w:r>
              <w:rPr>
                <w:rFonts w:ascii="Times New Roman" w:hAnsi="Times New Roman"/>
                <w:sz w:val="28"/>
                <w:szCs w:val="28"/>
              </w:rPr>
              <w:t>Activity description</w:t>
            </w:r>
          </w:p>
        </w:tc>
      </w:tr>
      <w:tr w:rsidR="006901FA" w:rsidTr="006901FA">
        <w:tc>
          <w:tcPr>
            <w:tcW w:w="154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01</w:t>
            </w:r>
          </w:p>
        </w:tc>
        <w:tc>
          <w:tcPr>
            <w:tcW w:w="3960"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Teachers day celebration</w:t>
            </w:r>
          </w:p>
        </w:tc>
        <w:tc>
          <w:tcPr>
            <w:tcW w:w="406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Shikshak Parv</w:t>
            </w:r>
          </w:p>
        </w:tc>
      </w:tr>
      <w:tr w:rsidR="006901FA" w:rsidTr="006901FA">
        <w:tc>
          <w:tcPr>
            <w:tcW w:w="154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02</w:t>
            </w:r>
          </w:p>
        </w:tc>
        <w:tc>
          <w:tcPr>
            <w:tcW w:w="3960"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Workshop</w:t>
            </w:r>
          </w:p>
        </w:tc>
        <w:tc>
          <w:tcPr>
            <w:tcW w:w="406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Workshop on AQAR</w:t>
            </w:r>
          </w:p>
        </w:tc>
      </w:tr>
      <w:tr w:rsidR="006901FA" w:rsidTr="006901FA">
        <w:tc>
          <w:tcPr>
            <w:tcW w:w="154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03</w:t>
            </w:r>
          </w:p>
        </w:tc>
        <w:tc>
          <w:tcPr>
            <w:tcW w:w="3960"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FDP</w:t>
            </w:r>
          </w:p>
        </w:tc>
        <w:tc>
          <w:tcPr>
            <w:tcW w:w="406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FDP on NAAC</w:t>
            </w:r>
          </w:p>
        </w:tc>
      </w:tr>
      <w:tr w:rsidR="006901FA" w:rsidTr="006901FA">
        <w:tc>
          <w:tcPr>
            <w:tcW w:w="154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04</w:t>
            </w:r>
          </w:p>
        </w:tc>
        <w:tc>
          <w:tcPr>
            <w:tcW w:w="3960"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Webinar</w:t>
            </w:r>
          </w:p>
        </w:tc>
        <w:tc>
          <w:tcPr>
            <w:tcW w:w="406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Money management and career opportunities post COVID-19 scenario</w:t>
            </w:r>
          </w:p>
        </w:tc>
      </w:tr>
      <w:tr w:rsidR="006901FA" w:rsidTr="006901FA">
        <w:tc>
          <w:tcPr>
            <w:tcW w:w="154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05</w:t>
            </w:r>
          </w:p>
        </w:tc>
        <w:tc>
          <w:tcPr>
            <w:tcW w:w="3960"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Webinar</w:t>
            </w:r>
          </w:p>
        </w:tc>
        <w:tc>
          <w:tcPr>
            <w:tcW w:w="406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National webinar on Financial Education</w:t>
            </w:r>
          </w:p>
        </w:tc>
      </w:tr>
      <w:tr w:rsidR="006901FA" w:rsidTr="006901FA">
        <w:tc>
          <w:tcPr>
            <w:tcW w:w="154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06</w:t>
            </w:r>
          </w:p>
        </w:tc>
        <w:tc>
          <w:tcPr>
            <w:tcW w:w="3960"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Webinar</w:t>
            </w:r>
          </w:p>
        </w:tc>
        <w:tc>
          <w:tcPr>
            <w:tcW w:w="406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International webinar on the Climate crisis: Our planet is in an emergency.</w:t>
            </w:r>
          </w:p>
        </w:tc>
      </w:tr>
      <w:tr w:rsidR="006901FA" w:rsidTr="006901FA">
        <w:tc>
          <w:tcPr>
            <w:tcW w:w="154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07</w:t>
            </w:r>
          </w:p>
        </w:tc>
        <w:tc>
          <w:tcPr>
            <w:tcW w:w="3960"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Motivational talk</w:t>
            </w:r>
          </w:p>
        </w:tc>
        <w:tc>
          <w:tcPr>
            <w:tcW w:w="406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Motivational cum inspirational talk by civil service qualifiers.</w:t>
            </w:r>
          </w:p>
        </w:tc>
      </w:tr>
      <w:tr w:rsidR="006901FA" w:rsidTr="006901FA">
        <w:tc>
          <w:tcPr>
            <w:tcW w:w="154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08</w:t>
            </w:r>
          </w:p>
        </w:tc>
        <w:tc>
          <w:tcPr>
            <w:tcW w:w="3960"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Seminar</w:t>
            </w:r>
          </w:p>
        </w:tc>
        <w:tc>
          <w:tcPr>
            <w:tcW w:w="406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Women in Physics: Past, Present and Future</w:t>
            </w:r>
          </w:p>
        </w:tc>
      </w:tr>
      <w:tr w:rsidR="006901FA" w:rsidTr="006901FA">
        <w:tc>
          <w:tcPr>
            <w:tcW w:w="154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09</w:t>
            </w:r>
          </w:p>
        </w:tc>
        <w:tc>
          <w:tcPr>
            <w:tcW w:w="3960"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Webinar</w:t>
            </w:r>
          </w:p>
        </w:tc>
        <w:tc>
          <w:tcPr>
            <w:tcW w:w="4068" w:type="dxa"/>
            <w:tcBorders>
              <w:top w:val="single" w:sz="4" w:space="0" w:color="auto"/>
              <w:left w:val="single" w:sz="4" w:space="0" w:color="auto"/>
              <w:bottom w:val="single" w:sz="4" w:space="0" w:color="auto"/>
              <w:right w:val="single" w:sz="4" w:space="0" w:color="auto"/>
            </w:tcBorders>
            <w:hideMark/>
          </w:tcPr>
          <w:p w:rsidR="006901FA" w:rsidRDefault="006901FA">
            <w:pPr>
              <w:spacing w:line="276" w:lineRule="auto"/>
              <w:jc w:val="both"/>
              <w:rPr>
                <w:rFonts w:ascii="Times New Roman" w:hAnsi="Times New Roman"/>
                <w:sz w:val="28"/>
                <w:szCs w:val="28"/>
              </w:rPr>
            </w:pPr>
            <w:r>
              <w:rPr>
                <w:rFonts w:ascii="Times New Roman" w:hAnsi="Times New Roman"/>
                <w:sz w:val="28"/>
                <w:szCs w:val="28"/>
              </w:rPr>
              <w:t>International webinar on Sustainable development</w:t>
            </w:r>
          </w:p>
        </w:tc>
      </w:tr>
    </w:tbl>
    <w:p w:rsidR="006901FA" w:rsidRDefault="006901FA" w:rsidP="006901FA">
      <w:pPr>
        <w:spacing w:after="0"/>
        <w:jc w:val="both"/>
        <w:rPr>
          <w:rFonts w:ascii="Times New Roman" w:hAnsi="Times New Roman"/>
          <w:sz w:val="28"/>
          <w:szCs w:val="28"/>
        </w:rPr>
      </w:pPr>
    </w:p>
    <w:p w:rsidR="006901FA" w:rsidRDefault="006901FA" w:rsidP="006901FA">
      <w:pPr>
        <w:spacing w:after="0"/>
        <w:jc w:val="both"/>
        <w:rPr>
          <w:rFonts w:ascii="Times New Roman" w:hAnsi="Times New Roman"/>
          <w:b/>
          <w:sz w:val="28"/>
          <w:szCs w:val="28"/>
        </w:rPr>
      </w:pPr>
    </w:p>
    <w:p w:rsidR="006901FA" w:rsidRDefault="006901FA" w:rsidP="006901FA">
      <w:pPr>
        <w:spacing w:after="0"/>
        <w:jc w:val="both"/>
        <w:rPr>
          <w:rFonts w:ascii="Times New Roman" w:hAnsi="Times New Roman"/>
          <w:b/>
          <w:sz w:val="28"/>
          <w:szCs w:val="28"/>
        </w:rPr>
      </w:pPr>
      <w:r>
        <w:rPr>
          <w:rFonts w:ascii="Times New Roman" w:hAnsi="Times New Roman"/>
          <w:b/>
          <w:sz w:val="28"/>
          <w:szCs w:val="28"/>
        </w:rPr>
        <w:lastRenderedPageBreak/>
        <w:t>Programmes undertaken for the non-teaching faculty:</w:t>
      </w:r>
    </w:p>
    <w:p w:rsidR="006901FA" w:rsidRDefault="006901FA" w:rsidP="006901FA">
      <w:pPr>
        <w:spacing w:after="0"/>
        <w:jc w:val="both"/>
        <w:rPr>
          <w:rFonts w:ascii="Times New Roman" w:hAnsi="Times New Roman"/>
          <w:sz w:val="28"/>
          <w:szCs w:val="28"/>
        </w:rPr>
      </w:pPr>
      <w:r>
        <w:rPr>
          <w:rFonts w:ascii="Times New Roman" w:hAnsi="Times New Roman"/>
          <w:sz w:val="28"/>
          <w:szCs w:val="28"/>
        </w:rPr>
        <w:t>Activities such as workshop on handling of computers and basic learning tools of computer, engaging in other day to day activities of college affairs along with teaching faculty, workshops by different departments regarding the handling of materials and equipment’s, maintenance of college campus and herbal garden thereby utilizing unique beautification techniques etc.</w:t>
      </w:r>
    </w:p>
    <w:p w:rsidR="006901FA" w:rsidRPr="00E47AC9" w:rsidRDefault="006901FA" w:rsidP="006901FA">
      <w:pPr>
        <w:spacing w:after="0"/>
        <w:jc w:val="both"/>
        <w:rPr>
          <w:rFonts w:ascii="Times New Roman" w:hAnsi="Times New Roman"/>
          <w:b/>
          <w:sz w:val="28"/>
          <w:szCs w:val="28"/>
        </w:rPr>
      </w:pPr>
      <w:r>
        <w:rPr>
          <w:rFonts w:ascii="Times New Roman" w:hAnsi="Times New Roman"/>
          <w:b/>
          <w:sz w:val="28"/>
          <w:szCs w:val="28"/>
        </w:rPr>
        <w:t>Programmes undertaken for the students:</w:t>
      </w:r>
    </w:p>
    <w:p w:rsidR="006901FA" w:rsidRPr="00E47AC9" w:rsidRDefault="006901FA" w:rsidP="006901FA">
      <w:pPr>
        <w:spacing w:after="0"/>
        <w:jc w:val="both"/>
        <w:rPr>
          <w:rFonts w:ascii="Times New Roman" w:hAnsi="Times New Roman"/>
          <w:sz w:val="28"/>
          <w:szCs w:val="28"/>
        </w:rPr>
      </w:pPr>
      <w:r>
        <w:rPr>
          <w:rFonts w:ascii="Times New Roman" w:hAnsi="Times New Roman"/>
          <w:sz w:val="28"/>
          <w:szCs w:val="28"/>
        </w:rPr>
        <w:t xml:space="preserve">Capacity building measures for the students, who are the real stakeholders of the college, requires special attention and hence programmes/activities are designed in such a way so as to cater the needs of these developing brains. </w:t>
      </w:r>
    </w:p>
    <w:p w:rsidR="006901FA" w:rsidRDefault="006901FA" w:rsidP="006901FA">
      <w:pPr>
        <w:spacing w:after="0"/>
        <w:jc w:val="both"/>
        <w:rPr>
          <w:rFonts w:ascii="Times New Roman" w:hAnsi="Times New Roman"/>
          <w:sz w:val="28"/>
          <w:szCs w:val="28"/>
        </w:rPr>
      </w:pPr>
      <w:r>
        <w:rPr>
          <w:rFonts w:ascii="Times New Roman" w:hAnsi="Times New Roman"/>
          <w:b/>
          <w:sz w:val="28"/>
          <w:szCs w:val="28"/>
        </w:rPr>
        <w:t>Activities include</w:t>
      </w:r>
      <w:r>
        <w:rPr>
          <w:rFonts w:ascii="Times New Roman" w:hAnsi="Times New Roman"/>
          <w:sz w:val="28"/>
          <w:szCs w:val="28"/>
        </w:rPr>
        <w:t>: Quizzes, essay writings, painting competition, participation in seminars as presenters, NCC/NSS programmes, environmental awareness programmes, road safety weeks, gender sensitive issues, important national and international day celebration, sports, blood donation drives, plantation drives, waste management techniques, field visits, trekking and hiking, industrial tours, skill development activities.</w:t>
      </w:r>
    </w:p>
    <w:p w:rsidR="006901FA" w:rsidRDefault="006901FA" w:rsidP="006901FA">
      <w:pPr>
        <w:spacing w:after="0"/>
        <w:jc w:val="both"/>
        <w:rPr>
          <w:rFonts w:ascii="Times New Roman" w:hAnsi="Times New Roman"/>
          <w:sz w:val="28"/>
          <w:szCs w:val="28"/>
        </w:rPr>
      </w:pPr>
      <w:r>
        <w:rPr>
          <w:rFonts w:ascii="Times New Roman" w:hAnsi="Times New Roman"/>
          <w:sz w:val="28"/>
          <w:szCs w:val="28"/>
        </w:rPr>
        <w:t>In addition, this college is among the few institutes of the state to provide post graduate courses in Chemistry and Urdu.</w:t>
      </w:r>
    </w:p>
    <w:p w:rsidR="006901FA" w:rsidRDefault="006901FA" w:rsidP="006901FA">
      <w:pPr>
        <w:spacing w:after="0"/>
        <w:jc w:val="both"/>
        <w:rPr>
          <w:rFonts w:ascii="Times New Roman" w:hAnsi="Times New Roman"/>
          <w:sz w:val="28"/>
          <w:szCs w:val="28"/>
        </w:rPr>
      </w:pPr>
      <w:r>
        <w:rPr>
          <w:rFonts w:ascii="Times New Roman" w:hAnsi="Times New Roman"/>
          <w:b/>
          <w:sz w:val="28"/>
          <w:szCs w:val="28"/>
        </w:rPr>
        <w:t>Covid -19</w:t>
      </w:r>
      <w:r>
        <w:rPr>
          <w:rFonts w:ascii="Times New Roman" w:hAnsi="Times New Roman"/>
          <w:sz w:val="28"/>
          <w:szCs w:val="28"/>
        </w:rPr>
        <w:t xml:space="preserve"> pandemic and lockdown across the country in the year 2021-22 resulted in the disruption of every aspect of human life such as health, food, livelihood, education, social security and relationships nonetheless our institute rose to the occasion and very swiftly switched on to the online mode of teaching and learning. In addition to this, faculties from the teaching as well as non-teaching staff members were engaged in various roles by District administration in the fight against COVID-19.</w:t>
      </w:r>
    </w:p>
    <w:p w:rsidR="006901FA" w:rsidRDefault="006901FA" w:rsidP="006901FA">
      <w:pPr>
        <w:spacing w:after="0"/>
        <w:jc w:val="both"/>
        <w:rPr>
          <w:rFonts w:ascii="Times New Roman" w:hAnsi="Times New Roman"/>
          <w:sz w:val="28"/>
          <w:szCs w:val="28"/>
        </w:rPr>
      </w:pPr>
    </w:p>
    <w:p w:rsidR="006901FA" w:rsidRDefault="006901FA" w:rsidP="006901FA">
      <w:pPr>
        <w:spacing w:after="0"/>
        <w:rPr>
          <w:rFonts w:ascii="Times New Roman" w:hAnsi="Times New Roman"/>
          <w:sz w:val="28"/>
          <w:szCs w:val="28"/>
        </w:rPr>
      </w:pPr>
    </w:p>
    <w:p w:rsidR="006901FA" w:rsidRDefault="006901FA" w:rsidP="006901FA">
      <w:pPr>
        <w:spacing w:after="0"/>
        <w:rPr>
          <w:rFonts w:ascii="Times New Roman" w:hAnsi="Times New Roman"/>
          <w:sz w:val="28"/>
          <w:szCs w:val="28"/>
        </w:rPr>
      </w:pPr>
    </w:p>
    <w:p w:rsidR="00FF066C" w:rsidRDefault="00FF066C">
      <w:bookmarkStart w:id="0" w:name="_GoBack"/>
      <w:bookmarkEnd w:id="0"/>
    </w:p>
    <w:sectPr w:rsidR="00FF066C" w:rsidSect="008771B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460" w:rsidRDefault="00991460" w:rsidP="00E47AC9">
      <w:pPr>
        <w:spacing w:after="0" w:line="240" w:lineRule="auto"/>
      </w:pPr>
      <w:r>
        <w:separator/>
      </w:r>
    </w:p>
  </w:endnote>
  <w:endnote w:type="continuationSeparator" w:id="1">
    <w:p w:rsidR="00991460" w:rsidRDefault="00991460" w:rsidP="00E47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460" w:rsidRDefault="00991460" w:rsidP="00E47AC9">
      <w:pPr>
        <w:spacing w:after="0" w:line="240" w:lineRule="auto"/>
      </w:pPr>
      <w:r>
        <w:separator/>
      </w:r>
    </w:p>
  </w:footnote>
  <w:footnote w:type="continuationSeparator" w:id="1">
    <w:p w:rsidR="00991460" w:rsidRDefault="00991460" w:rsidP="00E47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197"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70"/>
      <w:gridCol w:w="7623"/>
      <w:gridCol w:w="1404"/>
    </w:tblGrid>
    <w:tr w:rsidR="00E47AC9" w:rsidTr="0028788D">
      <w:trPr>
        <w:trHeight w:val="536"/>
      </w:trPr>
      <w:tc>
        <w:tcPr>
          <w:tcW w:w="1170" w:type="dxa"/>
        </w:tcPr>
        <w:p w:rsidR="00E47AC9" w:rsidRDefault="00E47AC9" w:rsidP="0028788D">
          <w:r>
            <w:rPr>
              <w:noProof/>
            </w:rPr>
            <w:drawing>
              <wp:inline distT="0" distB="0" distL="0" distR="0">
                <wp:extent cx="681609" cy="77128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4042" cy="774033"/>
                        </a:xfrm>
                        <a:prstGeom prst="rect">
                          <a:avLst/>
                        </a:prstGeom>
                        <a:noFill/>
                      </pic:spPr>
                    </pic:pic>
                  </a:graphicData>
                </a:graphic>
              </wp:inline>
            </w:drawing>
          </w:r>
        </w:p>
      </w:tc>
      <w:tc>
        <w:tcPr>
          <w:tcW w:w="7623" w:type="dxa"/>
        </w:tcPr>
        <w:p w:rsidR="00E47AC9" w:rsidRPr="00757558" w:rsidRDefault="00E47AC9" w:rsidP="0028788D">
          <w:pPr>
            <w:jc w:val="center"/>
            <w:rPr>
              <w:b/>
              <w:bCs/>
              <w:color w:val="244061" w:themeColor="accent1" w:themeShade="80"/>
              <w:sz w:val="24"/>
              <w:szCs w:val="24"/>
            </w:rPr>
          </w:pPr>
          <w:r w:rsidRPr="00757558">
            <w:rPr>
              <w:b/>
              <w:bCs/>
              <w:color w:val="244061" w:themeColor="accent1" w:themeShade="80"/>
              <w:sz w:val="24"/>
              <w:szCs w:val="24"/>
            </w:rPr>
            <w:t>OFFICE OF THE PRINCIPAL</w:t>
          </w:r>
        </w:p>
        <w:p w:rsidR="00E47AC9" w:rsidRPr="00757558" w:rsidRDefault="00E47AC9" w:rsidP="0028788D">
          <w:pPr>
            <w:jc w:val="center"/>
            <w:rPr>
              <w:b/>
              <w:color w:val="244061" w:themeColor="accent1" w:themeShade="80"/>
              <w:sz w:val="24"/>
            </w:rPr>
          </w:pPr>
          <w:r w:rsidRPr="00757558">
            <w:rPr>
              <w:b/>
              <w:color w:val="244061" w:themeColor="accent1" w:themeShade="80"/>
              <w:sz w:val="24"/>
            </w:rPr>
            <w:t>GOVT. DEGREE (PG) COLLEGE BHADERWAH (UT of J&amp;K)</w:t>
          </w:r>
        </w:p>
        <w:p w:rsidR="00E47AC9" w:rsidRPr="00757558" w:rsidRDefault="00E47AC9" w:rsidP="0028788D">
          <w:pPr>
            <w:jc w:val="center"/>
            <w:rPr>
              <w:b/>
              <w:color w:val="244061" w:themeColor="accent1" w:themeShade="80"/>
              <w:sz w:val="18"/>
            </w:rPr>
          </w:pPr>
          <w:r w:rsidRPr="00757558">
            <w:rPr>
              <w:b/>
              <w:color w:val="244061" w:themeColor="accent1" w:themeShade="80"/>
              <w:sz w:val="18"/>
            </w:rPr>
            <w:t>(NAAC Accredited ‘B’ Grade Cycle-2)</w:t>
          </w:r>
        </w:p>
        <w:p w:rsidR="00E47AC9" w:rsidRPr="009101E5" w:rsidRDefault="00E47AC9" w:rsidP="0028788D">
          <w:pPr>
            <w:jc w:val="center"/>
            <w:rPr>
              <w:b/>
              <w:color w:val="244061" w:themeColor="accent1" w:themeShade="80"/>
              <w:sz w:val="14"/>
              <w:szCs w:val="16"/>
            </w:rPr>
          </w:pPr>
          <w:r w:rsidRPr="009101E5">
            <w:rPr>
              <w:b/>
              <w:color w:val="244061" w:themeColor="accent1" w:themeShade="80"/>
              <w:sz w:val="14"/>
              <w:szCs w:val="16"/>
            </w:rPr>
            <w:t>E-mail :</w:t>
          </w:r>
          <w:hyperlink r:id="rId2" w:history="1">
            <w:r w:rsidRPr="009101E5">
              <w:rPr>
                <w:rStyle w:val="Hyperlink"/>
                <w:b/>
                <w:color w:val="244061" w:themeColor="accent1" w:themeShade="80"/>
                <w:sz w:val="14"/>
              </w:rPr>
              <w:t>principalgdcbhaderwah@gmail.com</w:t>
            </w:r>
          </w:hyperlink>
          <w:r w:rsidRPr="009101E5">
            <w:rPr>
              <w:b/>
              <w:color w:val="244061" w:themeColor="accent1" w:themeShade="80"/>
              <w:sz w:val="14"/>
              <w:szCs w:val="16"/>
            </w:rPr>
            <w:t xml:space="preserve">, Ph/Fax: 01997244155/Mob: +919419910916 website: </w:t>
          </w:r>
          <w:hyperlink r:id="rId3" w:history="1">
            <w:r w:rsidRPr="009101E5">
              <w:rPr>
                <w:rStyle w:val="Hyperlink"/>
                <w:rFonts w:asciiTheme="minorHAnsi" w:hAnsiTheme="minorHAnsi" w:cs="Mangal"/>
                <w:b/>
                <w:color w:val="244061" w:themeColor="accent1" w:themeShade="80"/>
                <w:sz w:val="14"/>
              </w:rPr>
              <w:t>www.gdcbhadarwah.ac.in</w:t>
            </w:r>
          </w:hyperlink>
        </w:p>
        <w:p w:rsidR="00E47AC9" w:rsidRPr="009101E5" w:rsidRDefault="00E47AC9" w:rsidP="0028788D">
          <w:pPr>
            <w:jc w:val="center"/>
            <w:rPr>
              <w:b/>
              <w:color w:val="244061" w:themeColor="accent1" w:themeShade="80"/>
              <w:sz w:val="16"/>
              <w:szCs w:val="16"/>
            </w:rPr>
          </w:pPr>
          <w:r w:rsidRPr="00DB3007">
            <w:rPr>
              <w:b/>
              <w:color w:val="244061" w:themeColor="accent1" w:themeShade="80"/>
              <w:szCs w:val="16"/>
            </w:rPr>
            <w:t>*****</w:t>
          </w:r>
        </w:p>
      </w:tc>
      <w:tc>
        <w:tcPr>
          <w:tcW w:w="1404" w:type="dxa"/>
        </w:tcPr>
        <w:p w:rsidR="00E47AC9" w:rsidRDefault="00E47AC9" w:rsidP="0028788D">
          <w:r>
            <w:rPr>
              <w:noProof/>
            </w:rPr>
            <w:drawing>
              <wp:inline distT="0" distB="0" distL="0" distR="0">
                <wp:extent cx="771098" cy="7710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7137" cy="767137"/>
                        </a:xfrm>
                        <a:prstGeom prst="rect">
                          <a:avLst/>
                        </a:prstGeom>
                        <a:noFill/>
                      </pic:spPr>
                    </pic:pic>
                  </a:graphicData>
                </a:graphic>
              </wp:inline>
            </w:drawing>
          </w:r>
        </w:p>
      </w:tc>
    </w:tr>
    <w:tr w:rsidR="00E47AC9" w:rsidTr="0028788D">
      <w:trPr>
        <w:trHeight w:val="74"/>
      </w:trPr>
      <w:tc>
        <w:tcPr>
          <w:tcW w:w="10197" w:type="dxa"/>
          <w:gridSpan w:val="3"/>
        </w:tcPr>
        <w:p w:rsidR="00E47AC9" w:rsidRPr="009101E5" w:rsidRDefault="00E47AC9" w:rsidP="0028788D">
          <w:pPr>
            <w:ind w:right="-81"/>
            <w:jc w:val="center"/>
            <w:rPr>
              <w:b/>
              <w:color w:val="244061" w:themeColor="accent1" w:themeShade="80"/>
              <w:sz w:val="24"/>
              <w:u w:val="single"/>
            </w:rPr>
          </w:pPr>
          <w:r w:rsidRPr="00757558">
            <w:rPr>
              <w:b/>
              <w:color w:val="244061" w:themeColor="accent1" w:themeShade="80"/>
              <w:sz w:val="24"/>
              <w:u w:val="single"/>
            </w:rPr>
            <w:t>No. : BC/Adm</w:t>
          </w:r>
          <w:r w:rsidRPr="00757558">
            <w:rPr>
              <w:b/>
              <w:color w:val="244061" w:themeColor="accent1" w:themeShade="80"/>
              <w:u w:val="single"/>
            </w:rPr>
            <w:t>/23/.….</w:t>
          </w:r>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u w:val="single"/>
            </w:rPr>
            <w:tab/>
          </w:r>
          <w:r w:rsidRPr="00757558">
            <w:rPr>
              <w:b/>
              <w:color w:val="244061" w:themeColor="accent1" w:themeShade="80"/>
              <w:sz w:val="24"/>
              <w:u w:val="single"/>
            </w:rPr>
            <w:t>Dated :       –       – 2023</w:t>
          </w:r>
        </w:p>
      </w:tc>
    </w:tr>
  </w:tbl>
  <w:p w:rsidR="00E47AC9" w:rsidRDefault="00E47A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2F9D"/>
    <w:rsid w:val="006901FA"/>
    <w:rsid w:val="008771B3"/>
    <w:rsid w:val="008C2F9D"/>
    <w:rsid w:val="00991460"/>
    <w:rsid w:val="00E47AC9"/>
    <w:rsid w:val="00FF0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1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47A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7AC9"/>
    <w:rPr>
      <w:rFonts w:ascii="Calibri" w:eastAsia="Calibri" w:hAnsi="Calibri" w:cs="Times New Roman"/>
    </w:rPr>
  </w:style>
  <w:style w:type="paragraph" w:styleId="Footer">
    <w:name w:val="footer"/>
    <w:basedOn w:val="Normal"/>
    <w:link w:val="FooterChar"/>
    <w:uiPriority w:val="99"/>
    <w:semiHidden/>
    <w:unhideWhenUsed/>
    <w:rsid w:val="00E47A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7AC9"/>
    <w:rPr>
      <w:rFonts w:ascii="Calibri" w:eastAsia="Calibri" w:hAnsi="Calibri" w:cs="Times New Roman"/>
    </w:rPr>
  </w:style>
  <w:style w:type="character" w:styleId="Hyperlink">
    <w:name w:val="Hyperlink"/>
    <w:basedOn w:val="DefaultParagraphFont"/>
    <w:uiPriority w:val="99"/>
    <w:unhideWhenUsed/>
    <w:rsid w:val="00E47AC9"/>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E47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1F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hyperlink" Target="http://www.gdcbhadarwah.ac.in" TargetMode="External"/><Relationship Id="rId2" Type="http://schemas.openxmlformats.org/officeDocument/2006/relationships/hyperlink" Target="mailto:principalgdcbhaderwah@gmail.com"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2023-05-22T05:24:00Z</dcterms:created>
  <dcterms:modified xsi:type="dcterms:W3CDTF">2023-05-22T05:24:00Z</dcterms:modified>
</cp:coreProperties>
</file>